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45" w:rsidRDefault="003B4019">
      <w:pPr>
        <w:rPr>
          <w:sz w:val="28"/>
        </w:rPr>
      </w:pPr>
      <w:r>
        <w:rPr>
          <w:sz w:val="28"/>
        </w:rPr>
        <w:t>Vážené kolegyně a kolegové,</w:t>
      </w:r>
    </w:p>
    <w:p w:rsidR="003B4019" w:rsidRDefault="003B4019" w:rsidP="003B4019">
      <w:pPr>
        <w:jc w:val="both"/>
        <w:rPr>
          <w:sz w:val="28"/>
        </w:rPr>
      </w:pPr>
      <w:r>
        <w:rPr>
          <w:sz w:val="28"/>
        </w:rPr>
        <w:t xml:space="preserve">Dovolte mi, abych se alespoň touto formou omluvil za určité nabourání dlouho připravovaného programu vašeho jednání. Těšil jsem se na setkání a pohovoření o případných potřebných úpravách zákona č. 109, ale </w:t>
      </w:r>
      <w:proofErr w:type="spellStart"/>
      <w:r>
        <w:rPr>
          <w:sz w:val="28"/>
        </w:rPr>
        <w:t>inkludoval</w:t>
      </w:r>
      <w:proofErr w:type="spellEnd"/>
      <w:r>
        <w:rPr>
          <w:sz w:val="28"/>
        </w:rPr>
        <w:t xml:space="preserve"> jsem nějaký bacil. Protože na to má tělesná schránka nebyla dostatečně připravena, tak místo společného popovídání o problémech školské legislativy jsem </w:t>
      </w:r>
      <w:proofErr w:type="spellStart"/>
      <w:r>
        <w:rPr>
          <w:sz w:val="28"/>
        </w:rPr>
        <w:t>exkludován</w:t>
      </w:r>
      <w:proofErr w:type="spellEnd"/>
      <w:r>
        <w:rPr>
          <w:sz w:val="28"/>
        </w:rPr>
        <w:t xml:space="preserve"> ve společnosti antibiotik. Zkrátka jak to naše inkluzivní školství</w:t>
      </w:r>
      <w:r w:rsidR="00884252">
        <w:rPr>
          <w:sz w:val="28"/>
        </w:rPr>
        <w:t>, kterému ale antibiotika v podobě potřebných legislativních a metodických úprav chybí</w:t>
      </w:r>
      <w:r w:rsidRPr="003B40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84252">
        <w:rPr>
          <w:sz w:val="28"/>
        </w:rPr>
        <w:t>.</w:t>
      </w:r>
    </w:p>
    <w:p w:rsidR="003B4019" w:rsidRDefault="003B4019" w:rsidP="003B4019">
      <w:pPr>
        <w:jc w:val="both"/>
        <w:rPr>
          <w:sz w:val="28"/>
        </w:rPr>
      </w:pPr>
      <w:r>
        <w:rPr>
          <w:sz w:val="28"/>
        </w:rPr>
        <w:t xml:space="preserve">Kolega Miloš Picek mne požádal, abych alespoň v písemné formě poskytl své podněty na možné potřebné změny v paragrafech, které se týkají středisek výchovné péče. </w:t>
      </w:r>
    </w:p>
    <w:p w:rsidR="00F744B7" w:rsidRDefault="00F744B7" w:rsidP="003B4019">
      <w:pPr>
        <w:jc w:val="both"/>
        <w:rPr>
          <w:sz w:val="28"/>
        </w:rPr>
      </w:pPr>
      <w:r>
        <w:rPr>
          <w:sz w:val="28"/>
        </w:rPr>
        <w:t xml:space="preserve">Dle mého názoru, na rozdíl od ostatních ustanovení zákona č. 109/2002 Sb., ve znění pozdějších předpisů, paragrafy č. 16 a 17 úprav zásadní povahy nepotřebují. Na místě by mohlo být spíše několik upřesnění, jako např.: </w:t>
      </w:r>
    </w:p>
    <w:p w:rsidR="005D1EEB" w:rsidRPr="00675DE9" w:rsidRDefault="00F744B7" w:rsidP="00F744B7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5D1EEB">
        <w:rPr>
          <w:b/>
          <w:sz w:val="28"/>
        </w:rPr>
        <w:t>§ 16, odst. 3</w:t>
      </w:r>
      <w:r w:rsidR="005D1EEB" w:rsidRPr="005D1EEB">
        <w:rPr>
          <w:b/>
          <w:sz w:val="28"/>
        </w:rPr>
        <w:t>:</w:t>
      </w:r>
      <w:r w:rsidRPr="00F744B7">
        <w:rPr>
          <w:sz w:val="28"/>
        </w:rPr>
        <w:t xml:space="preserve"> Středisko poskytuje služby podle odstavce 2 ve formě</w:t>
      </w:r>
      <w:r w:rsidRPr="00F744B7">
        <w:rPr>
          <w:sz w:val="28"/>
        </w:rPr>
        <w:t xml:space="preserve"> </w:t>
      </w:r>
      <w:r>
        <w:rPr>
          <w:sz w:val="28"/>
        </w:rPr>
        <w:br/>
      </w:r>
      <w:r w:rsidRPr="00F744B7">
        <w:rPr>
          <w:sz w:val="28"/>
        </w:rPr>
        <w:t xml:space="preserve">písm. c) </w:t>
      </w:r>
      <w:r w:rsidRPr="00F744B7">
        <w:rPr>
          <w:sz w:val="28"/>
        </w:rPr>
        <w:t xml:space="preserve">internátní, a to </w:t>
      </w:r>
      <w:r w:rsidRPr="00F744B7">
        <w:rPr>
          <w:i/>
          <w:color w:val="FF0000"/>
          <w:sz w:val="28"/>
        </w:rPr>
        <w:t xml:space="preserve">zpravidla </w:t>
      </w:r>
      <w:r w:rsidRPr="00F744B7">
        <w:rPr>
          <w:sz w:val="28"/>
        </w:rPr>
        <w:t>nejdéle po dobu 8 týdnů, nebo</w:t>
      </w:r>
      <w:r w:rsidR="005D1EEB">
        <w:rPr>
          <w:sz w:val="28"/>
        </w:rPr>
        <w:t xml:space="preserve"> </w:t>
      </w:r>
      <w:r w:rsidR="005D1EEB">
        <w:rPr>
          <w:i/>
          <w:color w:val="FF0000"/>
          <w:sz w:val="28"/>
        </w:rPr>
        <w:t xml:space="preserve">v případě rozhodnutí soudu až tří měsíců </w:t>
      </w:r>
      <w:r w:rsidR="005D1EEB" w:rsidRPr="00675DE9">
        <w:rPr>
          <w:i/>
          <w:color w:val="000000" w:themeColor="text1"/>
          <w:sz w:val="24"/>
        </w:rPr>
        <w:t>(pokud se dítě připravuje na budoucí povolání ve škole v blízkosti střediska či domova a rodinné poměry nejsou ještě zkonsolidovány natolik, aby byl zajištěn nejlepší zájem dítěte v otázce jeho vzdělávání, bylo by dobré, aby do doby nalezení jiného řešení mohlo dítě pobývat na základě smlouvy mezi střediskem a jeho zákonným zástupcem v internátě střediska</w:t>
      </w:r>
      <w:r w:rsidR="00675DE9">
        <w:rPr>
          <w:i/>
          <w:color w:val="000000" w:themeColor="text1"/>
          <w:sz w:val="24"/>
        </w:rPr>
        <w:t>)</w:t>
      </w:r>
    </w:p>
    <w:p w:rsidR="00675DE9" w:rsidRPr="00675DE9" w:rsidRDefault="005D1EEB" w:rsidP="005D1EEB">
      <w:pPr>
        <w:pStyle w:val="Odstavecseseznamem"/>
        <w:numPr>
          <w:ilvl w:val="0"/>
          <w:numId w:val="1"/>
        </w:numPr>
        <w:jc w:val="both"/>
        <w:rPr>
          <w:sz w:val="28"/>
        </w:rPr>
      </w:pPr>
      <w:r w:rsidRPr="00675DE9">
        <w:rPr>
          <w:color w:val="000000" w:themeColor="text1"/>
          <w:sz w:val="28"/>
        </w:rPr>
        <w:t xml:space="preserve">§ 17, odst. 1     </w:t>
      </w:r>
      <w:r w:rsidRPr="00675DE9">
        <w:rPr>
          <w:color w:val="000000" w:themeColor="text1"/>
          <w:sz w:val="28"/>
        </w:rPr>
        <w:t>O službu střediska může požádat, jde-li o</w:t>
      </w:r>
    </w:p>
    <w:p w:rsidR="00F744B7" w:rsidRPr="00675DE9" w:rsidRDefault="00675DE9" w:rsidP="00675DE9">
      <w:pPr>
        <w:pStyle w:val="Odstavecseseznamem"/>
        <w:jc w:val="both"/>
        <w:rPr>
          <w:sz w:val="24"/>
        </w:rPr>
      </w:pPr>
      <w:r w:rsidRPr="00675DE9">
        <w:rPr>
          <w:color w:val="000000" w:themeColor="text1"/>
          <w:sz w:val="8"/>
          <w:szCs w:val="8"/>
        </w:rPr>
        <w:br/>
      </w:r>
      <w:r w:rsidR="005D1EEB" w:rsidRPr="00675DE9">
        <w:rPr>
          <w:color w:val="000000" w:themeColor="text1"/>
          <w:sz w:val="28"/>
        </w:rPr>
        <w:t>a) ambulantní službu, klient uvedený v § 16 odst. 1 písm. a) a c) starší 15 let, klient uvedený</w:t>
      </w:r>
      <w:r w:rsidRPr="00675DE9">
        <w:rPr>
          <w:color w:val="000000" w:themeColor="text1"/>
          <w:sz w:val="28"/>
        </w:rPr>
        <w:t xml:space="preserve"> </w:t>
      </w:r>
      <w:r w:rsidR="005D1EEB" w:rsidRPr="00675DE9">
        <w:rPr>
          <w:color w:val="000000" w:themeColor="text1"/>
          <w:sz w:val="28"/>
        </w:rPr>
        <w:t xml:space="preserve">v § 16 odst. 1 písm. b) </w:t>
      </w:r>
      <w:r w:rsidRPr="00675DE9">
        <w:rPr>
          <w:color w:val="FF0000"/>
          <w:sz w:val="28"/>
        </w:rPr>
        <w:t xml:space="preserve">orgán sociálně právní ochrany dětí, </w:t>
      </w:r>
      <w:r w:rsidR="005D1EEB" w:rsidRPr="00675DE9">
        <w:rPr>
          <w:color w:val="000000" w:themeColor="text1"/>
          <w:sz w:val="28"/>
        </w:rPr>
        <w:t>nebo příslušná škola nebo školské zařízení,</w:t>
      </w:r>
      <w:r>
        <w:rPr>
          <w:color w:val="000000" w:themeColor="text1"/>
          <w:sz w:val="28"/>
        </w:rPr>
        <w:br/>
      </w:r>
      <w:r w:rsidR="005D1EEB" w:rsidRPr="00675DE9">
        <w:rPr>
          <w:color w:val="000000" w:themeColor="text1"/>
          <w:sz w:val="28"/>
        </w:rPr>
        <w:t>b) celodenní nebo internátní službu, zákonný zástupce klienta uvedeného v § 16 odst. 1 písm.</w:t>
      </w:r>
      <w:r w:rsidRPr="00675DE9">
        <w:rPr>
          <w:color w:val="000000" w:themeColor="text1"/>
          <w:sz w:val="28"/>
        </w:rPr>
        <w:t xml:space="preserve"> </w:t>
      </w:r>
      <w:r w:rsidR="005D1EEB" w:rsidRPr="00675DE9">
        <w:rPr>
          <w:color w:val="000000" w:themeColor="text1"/>
          <w:sz w:val="28"/>
        </w:rPr>
        <w:t>a) a c) nebo zletilý klient uvedený v § 16 odst. 1 písm. a)</w:t>
      </w:r>
      <w:r w:rsidRPr="00675DE9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br/>
      </w:r>
      <w:r w:rsidRPr="00675DE9">
        <w:rPr>
          <w:i/>
          <w:color w:val="000000" w:themeColor="text1"/>
          <w:sz w:val="24"/>
        </w:rPr>
        <w:t xml:space="preserve">(OSPOD by měl mít možnost nasměrovat dítě do SVP i proti vůli rodičů, pokud jsou liknaví či s dočasným umístěním jeden z nich nesouhlasí, ale je </w:t>
      </w:r>
      <w:r>
        <w:rPr>
          <w:i/>
          <w:color w:val="000000" w:themeColor="text1"/>
          <w:sz w:val="24"/>
        </w:rPr>
        <w:t xml:space="preserve">při zachování současného stavu </w:t>
      </w:r>
      <w:r w:rsidRPr="00675DE9">
        <w:rPr>
          <w:i/>
          <w:color w:val="000000" w:themeColor="text1"/>
          <w:sz w:val="24"/>
        </w:rPr>
        <w:t>ohrožen nejlepší zájem dítěte)</w:t>
      </w:r>
    </w:p>
    <w:p w:rsidR="00F744B7" w:rsidRPr="006A3DBD" w:rsidRDefault="006A3DBD" w:rsidP="003B4019">
      <w:pPr>
        <w:jc w:val="both"/>
        <w:rPr>
          <w:rFonts w:cstheme="minorHAnsi"/>
          <w:b/>
          <w:sz w:val="28"/>
          <w:szCs w:val="28"/>
        </w:rPr>
      </w:pPr>
      <w:r>
        <w:rPr>
          <w:sz w:val="28"/>
        </w:rPr>
        <w:t xml:space="preserve">Další případné změny záležitostí týkajících se kompetencí střediska by spíše měla řešit novela </w:t>
      </w:r>
      <w:r w:rsidRPr="006A3DBD">
        <w:rPr>
          <w:b/>
          <w:sz w:val="28"/>
        </w:rPr>
        <w:t>vyhlášky</w:t>
      </w:r>
      <w:r>
        <w:rPr>
          <w:sz w:val="28"/>
        </w:rPr>
        <w:t xml:space="preserve"> </w:t>
      </w:r>
      <w:hyperlink r:id="rId5" w:history="1">
        <w:r w:rsidRPr="006A3DBD">
          <w:rPr>
            <w:rStyle w:val="Hypertextovodkaz"/>
            <w:rFonts w:cstheme="minorHAnsi"/>
            <w:b/>
            <w:color w:val="4C4C4C"/>
            <w:sz w:val="28"/>
            <w:szCs w:val="28"/>
            <w:u w:val="none"/>
          </w:rPr>
          <w:t>č. 458/2005 Sb.</w:t>
        </w:r>
        <w:r w:rsidRPr="006A3DBD">
          <w:rPr>
            <w:rStyle w:val="Hypertextovodkaz"/>
            <w:rFonts w:cstheme="minorHAnsi"/>
            <w:color w:val="4C4C4C"/>
            <w:sz w:val="28"/>
            <w:szCs w:val="28"/>
            <w:u w:val="none"/>
          </w:rPr>
          <w:t>, kterou se upravují podrobnosti o organizaci výchovně vzdělávací péče ve střediscích výchovné péče</w:t>
        </w:r>
      </w:hyperlink>
      <w:r>
        <w:rPr>
          <w:rFonts w:cstheme="minorHAnsi"/>
          <w:sz w:val="28"/>
          <w:szCs w:val="28"/>
        </w:rPr>
        <w:t xml:space="preserve">, či </w:t>
      </w:r>
      <w:hyperlink r:id="rId6" w:history="1">
        <w:r w:rsidRPr="006A3DBD">
          <w:rPr>
            <w:rStyle w:val="Hypertextovodkaz"/>
            <w:rFonts w:cstheme="minorHAnsi"/>
            <w:b/>
            <w:color w:val="4C4C4C"/>
            <w:sz w:val="28"/>
            <w:szCs w:val="28"/>
            <w:u w:val="none"/>
          </w:rPr>
          <w:t>Metodický pokyn upřesňující podmínky činnosti středisek výchovné péče</w:t>
        </w:r>
      </w:hyperlink>
      <w:r>
        <w:rPr>
          <w:rFonts w:cstheme="minorHAnsi"/>
          <w:b/>
          <w:sz w:val="28"/>
          <w:szCs w:val="28"/>
        </w:rPr>
        <w:t>.</w:t>
      </w:r>
    </w:p>
    <w:p w:rsidR="00F744B7" w:rsidRDefault="006A3DBD" w:rsidP="003B4019">
      <w:pPr>
        <w:jc w:val="both"/>
        <w:rPr>
          <w:sz w:val="28"/>
        </w:rPr>
      </w:pPr>
      <w:r>
        <w:rPr>
          <w:sz w:val="28"/>
        </w:rPr>
        <w:lastRenderedPageBreak/>
        <w:t xml:space="preserve">Věci týkající se činnosti SVP jsou margináliemi oproti problémů daných </w:t>
      </w:r>
    </w:p>
    <w:p w:rsidR="00F744B7" w:rsidRPr="00F744B7" w:rsidRDefault="00F744B7" w:rsidP="003B4019">
      <w:pPr>
        <w:jc w:val="both"/>
        <w:rPr>
          <w:b/>
          <w:sz w:val="28"/>
        </w:rPr>
      </w:pPr>
      <w:r w:rsidRPr="00F744B7">
        <w:rPr>
          <w:b/>
          <w:sz w:val="28"/>
        </w:rPr>
        <w:t xml:space="preserve">§ </w:t>
      </w:r>
      <w:proofErr w:type="gramStart"/>
      <w:r w:rsidRPr="00F744B7">
        <w:rPr>
          <w:b/>
          <w:sz w:val="28"/>
        </w:rPr>
        <w:t>13a</w:t>
      </w:r>
      <w:proofErr w:type="gramEnd"/>
      <w:r w:rsidR="006A3DBD">
        <w:rPr>
          <w:b/>
          <w:sz w:val="28"/>
        </w:rPr>
        <w:t xml:space="preserve"> Zákona o sociálně právní ochraně dětí </w:t>
      </w:r>
    </w:p>
    <w:p w:rsidR="00F744B7" w:rsidRPr="00553117" w:rsidRDefault="00F744B7" w:rsidP="003B4019">
      <w:pPr>
        <w:jc w:val="both"/>
        <w:rPr>
          <w:sz w:val="26"/>
          <w:szCs w:val="26"/>
        </w:rPr>
      </w:pPr>
      <w:r w:rsidRPr="00553117">
        <w:rPr>
          <w:sz w:val="26"/>
          <w:szCs w:val="26"/>
        </w:rPr>
        <w:t>(3) Soud v rozhodnutí označí zařízení, do kterého má být dítě podle odstavce 1 umístěno. Přitom přihlédne k zájmům dítěte a k vyjádření obecního úřadu obce s rozšířenou působností. Soud dbá na umístění dítěte co nejblíže bydlišti rodičů nebo jiných osob dítěti blízkých.</w:t>
      </w:r>
    </w:p>
    <w:p w:rsidR="006A3DBD" w:rsidRPr="00553117" w:rsidRDefault="006A3DBD" w:rsidP="003B4019">
      <w:pPr>
        <w:jc w:val="both"/>
        <w:rPr>
          <w:b/>
          <w:sz w:val="28"/>
        </w:rPr>
      </w:pPr>
      <w:r w:rsidRPr="00553117">
        <w:rPr>
          <w:b/>
          <w:sz w:val="28"/>
        </w:rPr>
        <w:t>§ 971, odst. 4 Občanského zákoníku</w:t>
      </w:r>
    </w:p>
    <w:p w:rsidR="006A3DBD" w:rsidRDefault="006A3DBD" w:rsidP="003B4019">
      <w:pPr>
        <w:jc w:val="both"/>
        <w:rPr>
          <w:sz w:val="26"/>
          <w:szCs w:val="26"/>
        </w:rPr>
      </w:pPr>
      <w:r w:rsidRPr="00553117">
        <w:rPr>
          <w:sz w:val="26"/>
          <w:szCs w:val="26"/>
        </w:rPr>
        <w:t>(4) Soud v rozhodnutí, kterým nařizuje ústavní výchovu, označí zařízení, do kterého má být dítě umístěno. Přitom přihlédne k zájmům dítěte a k vyjádření orgánu sociálně-právní ochrany dětí. Soud dbá na umístění dítěte co nejblíže bydlišti rodičů nebo jiných osob dítěti blízkých. To platí i tehdy, rozhoduje-li soud o přemístění dítěte do jiného zařízení pro výkon ústavní nebo ochranné výchovy.</w:t>
      </w:r>
    </w:p>
    <w:p w:rsidR="00553117" w:rsidRDefault="00553117" w:rsidP="003B4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se nevrátí </w:t>
      </w:r>
      <w:r>
        <w:rPr>
          <w:sz w:val="28"/>
          <w:szCs w:val="28"/>
        </w:rPr>
        <w:t>otáz</w:t>
      </w:r>
      <w:r>
        <w:rPr>
          <w:sz w:val="28"/>
          <w:szCs w:val="28"/>
        </w:rPr>
        <w:t>ka</w:t>
      </w:r>
      <w:r>
        <w:rPr>
          <w:sz w:val="28"/>
          <w:szCs w:val="28"/>
        </w:rPr>
        <w:t xml:space="preserve"> umísťování či přemísťování dětí do konkrétních zařízení </w:t>
      </w:r>
      <w:r>
        <w:rPr>
          <w:sz w:val="28"/>
          <w:szCs w:val="28"/>
        </w:rPr>
        <w:t xml:space="preserve">do kompetence diagnostických ústavů, nehneme se z místa. Efektivita činnosti školských výchovných zařízení bude vlivem čekání dětí v diagnostických ústavech na umístění např. do zařízení s žádoucími učebními </w:t>
      </w:r>
      <w:proofErr w:type="gramStart"/>
      <w:r>
        <w:rPr>
          <w:sz w:val="28"/>
          <w:szCs w:val="28"/>
        </w:rPr>
        <w:t>obory,  směšování</w:t>
      </w:r>
      <w:proofErr w:type="gramEnd"/>
      <w:r>
        <w:rPr>
          <w:sz w:val="28"/>
          <w:szCs w:val="28"/>
        </w:rPr>
        <w:t xml:space="preserve"> dětí pouze potřebných, dětí s různou mírou </w:t>
      </w:r>
      <w:proofErr w:type="spellStart"/>
      <w:r>
        <w:rPr>
          <w:sz w:val="28"/>
          <w:szCs w:val="28"/>
        </w:rPr>
        <w:t>asociality</w:t>
      </w:r>
      <w:proofErr w:type="spellEnd"/>
      <w:r>
        <w:rPr>
          <w:sz w:val="28"/>
          <w:szCs w:val="28"/>
        </w:rPr>
        <w:t xml:space="preserve"> a antisociálního chování (např. v dětských domovech) rychle klesat, koneckonců, děje se tak již nyní, když jsou možnosti </w:t>
      </w:r>
      <w:r>
        <w:rPr>
          <w:sz w:val="28"/>
          <w:szCs w:val="28"/>
        </w:rPr>
        <w:t xml:space="preserve">výchovných zařízení </w:t>
      </w:r>
      <w:r>
        <w:rPr>
          <w:sz w:val="28"/>
          <w:szCs w:val="28"/>
        </w:rPr>
        <w:t>reagovat na výrazné, až ohrožující skutky dětí značně omezené právě čekáním na rozhodnutí soudu.</w:t>
      </w:r>
    </w:p>
    <w:p w:rsidR="00553117" w:rsidRDefault="00553117" w:rsidP="003B4019">
      <w:pPr>
        <w:jc w:val="both"/>
        <w:rPr>
          <w:sz w:val="28"/>
          <w:szCs w:val="28"/>
        </w:rPr>
      </w:pPr>
      <w:r>
        <w:rPr>
          <w:sz w:val="28"/>
          <w:szCs w:val="28"/>
        </w:rPr>
        <w:t>Bylo by ještě mnohé co uvést, ale nechci zdržovat. Snad jen, že by se na základě meziresortní skupiny na úrovni ministrů (pokud bude skutečně utvořena) mohl</w:t>
      </w:r>
      <w:r w:rsidR="00217FD5">
        <w:rPr>
          <w:sz w:val="28"/>
          <w:szCs w:val="28"/>
        </w:rPr>
        <w:t>a</w:t>
      </w:r>
      <w:r>
        <w:rPr>
          <w:sz w:val="28"/>
          <w:szCs w:val="28"/>
        </w:rPr>
        <w:t xml:space="preserve"> výrazně </w:t>
      </w:r>
      <w:r w:rsidR="00217FD5">
        <w:rPr>
          <w:sz w:val="28"/>
          <w:szCs w:val="28"/>
        </w:rPr>
        <w:t xml:space="preserve">přiblížit a koordinovat vzájemná spolupráce dotčených </w:t>
      </w:r>
      <w:proofErr w:type="gramStart"/>
      <w:r w:rsidR="00217FD5">
        <w:rPr>
          <w:sz w:val="28"/>
          <w:szCs w:val="28"/>
        </w:rPr>
        <w:t>resortů</w:t>
      </w:r>
      <w:proofErr w:type="gramEnd"/>
      <w:r w:rsidR="00217FD5">
        <w:rPr>
          <w:sz w:val="28"/>
          <w:szCs w:val="28"/>
        </w:rPr>
        <w:t xml:space="preserve"> a tak bychom se mohli oprosti různých animozit či nedorozumění, která současný stav přináší.</w:t>
      </w:r>
    </w:p>
    <w:p w:rsidR="00217FD5" w:rsidRDefault="00217FD5" w:rsidP="003B4019">
      <w:pPr>
        <w:jc w:val="both"/>
        <w:rPr>
          <w:sz w:val="28"/>
          <w:szCs w:val="28"/>
        </w:rPr>
      </w:pPr>
      <w:r>
        <w:rPr>
          <w:sz w:val="28"/>
          <w:szCs w:val="28"/>
        </w:rPr>
        <w:t>Přeji vašemu jednání úspěch a v případě zájmu jsem ochoten, co by představitel Asociace speciálních pedagogů při prosazování společných zájmů spolupracovat.</w:t>
      </w:r>
    </w:p>
    <w:p w:rsidR="00217FD5" w:rsidRPr="00553117" w:rsidRDefault="00217FD5" w:rsidP="003B4019">
      <w:pPr>
        <w:jc w:val="both"/>
        <w:rPr>
          <w:sz w:val="28"/>
          <w:szCs w:val="28"/>
        </w:rPr>
      </w:pPr>
      <w:r>
        <w:rPr>
          <w:sz w:val="28"/>
          <w:szCs w:val="28"/>
        </w:rPr>
        <w:t>Jiří Pilař</w:t>
      </w:r>
      <w:bookmarkStart w:id="0" w:name="_GoBack"/>
      <w:bookmarkEnd w:id="0"/>
    </w:p>
    <w:sectPr w:rsidR="00217FD5" w:rsidRPr="005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4439"/>
    <w:multiLevelType w:val="hybridMultilevel"/>
    <w:tmpl w:val="1332D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1F"/>
    <w:rsid w:val="001225F3"/>
    <w:rsid w:val="001D6445"/>
    <w:rsid w:val="00217FD5"/>
    <w:rsid w:val="003536AD"/>
    <w:rsid w:val="003B4019"/>
    <w:rsid w:val="00553117"/>
    <w:rsid w:val="005D111F"/>
    <w:rsid w:val="005D1EEB"/>
    <w:rsid w:val="00675DE9"/>
    <w:rsid w:val="006A3DBD"/>
    <w:rsid w:val="00884252"/>
    <w:rsid w:val="00F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1BD2"/>
  <w15:chartTrackingRefBased/>
  <w15:docId w15:val="{1522B6D3-50F0-4778-B4C2-5C09736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4B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A3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modules/marwel/uploads/soubory/vyhlasky/RJMetpokynSVPweb1.pdf" TargetMode="External"/><Relationship Id="rId5" Type="http://schemas.openxmlformats.org/officeDocument/2006/relationships/hyperlink" Target="http://www.msmt.cz/modules/marwel/uploads/soubory/vyhlasky/vyhlaska458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Pilař</dc:creator>
  <cp:keywords/>
  <dc:description/>
  <cp:lastModifiedBy>Jiří Pilař</cp:lastModifiedBy>
  <cp:revision>1</cp:revision>
  <dcterms:created xsi:type="dcterms:W3CDTF">2018-11-20T07:03:00Z</dcterms:created>
  <dcterms:modified xsi:type="dcterms:W3CDTF">2018-11-20T09:55:00Z</dcterms:modified>
</cp:coreProperties>
</file>